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D35A" w14:textId="4BA8B068" w:rsidR="00083D42" w:rsidRDefault="00C6611F" w:rsidP="00C6611F">
      <w:pPr>
        <w:spacing w:after="0" w:line="240" w:lineRule="auto"/>
        <w:jc w:val="center"/>
      </w:pPr>
      <w:r>
        <w:rPr>
          <w:noProof/>
        </w:rPr>
        <w:drawing>
          <wp:inline distT="0" distB="0" distL="0" distR="0" wp14:anchorId="218457AE" wp14:editId="3899B91D">
            <wp:extent cx="1323975" cy="1194174"/>
            <wp:effectExtent l="0" t="0" r="0" b="6350"/>
            <wp:docPr id="135841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10708" name="Picture 13584107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3365" cy="1202644"/>
                    </a:xfrm>
                    <a:prstGeom prst="rect">
                      <a:avLst/>
                    </a:prstGeom>
                  </pic:spPr>
                </pic:pic>
              </a:graphicData>
            </a:graphic>
          </wp:inline>
        </w:drawing>
      </w:r>
    </w:p>
    <w:p w14:paraId="29A69A44" w14:textId="77777777" w:rsidR="00C6611F" w:rsidRPr="00CC0E30" w:rsidRDefault="00C6611F" w:rsidP="00C6611F">
      <w:pPr>
        <w:spacing w:after="0" w:line="240" w:lineRule="auto"/>
        <w:jc w:val="center"/>
        <w:rPr>
          <w:rFonts w:ascii="Arial" w:hAnsi="Arial" w:cs="Arial"/>
          <w:sz w:val="21"/>
          <w:szCs w:val="21"/>
        </w:rPr>
      </w:pPr>
    </w:p>
    <w:p w14:paraId="74BFD1B8" w14:textId="0AFB776F"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Dear (</w:t>
      </w:r>
      <w:r w:rsidRPr="00CC0E30">
        <w:rPr>
          <w:rFonts w:ascii="Arial" w:hAnsi="Arial" w:cs="Arial"/>
          <w:sz w:val="21"/>
          <w:szCs w:val="21"/>
          <w:highlight w:val="yellow"/>
        </w:rPr>
        <w:t>Supervisor’s Name</w:t>
      </w:r>
      <w:r w:rsidRPr="00CC0E30">
        <w:rPr>
          <w:rFonts w:ascii="Arial" w:hAnsi="Arial" w:cs="Arial"/>
          <w:sz w:val="21"/>
          <w:szCs w:val="21"/>
        </w:rPr>
        <w:t>),</w:t>
      </w:r>
    </w:p>
    <w:p w14:paraId="6AA72BA7" w14:textId="77777777" w:rsidR="00C6611F" w:rsidRPr="00CC0E30" w:rsidRDefault="00C6611F" w:rsidP="00C6611F">
      <w:pPr>
        <w:spacing w:after="0" w:line="240" w:lineRule="auto"/>
        <w:rPr>
          <w:rFonts w:ascii="Arial" w:hAnsi="Arial" w:cs="Arial"/>
          <w:sz w:val="21"/>
          <w:szCs w:val="21"/>
        </w:rPr>
      </w:pPr>
    </w:p>
    <w:p w14:paraId="58AD2B8C" w14:textId="18955E98"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I am seeking your approval to attend the Society for Chemical Hazard Communication’s 2026 Annual Meeting.  This year’s meeting will be held at the Omni Royal Orleans in New Orleans, LA on October 6 – 8, 2026.</w:t>
      </w:r>
    </w:p>
    <w:p w14:paraId="73771FF1" w14:textId="77777777" w:rsidR="00C6611F" w:rsidRPr="00CC0E30" w:rsidRDefault="00C6611F" w:rsidP="00C6611F">
      <w:pPr>
        <w:spacing w:after="0" w:line="240" w:lineRule="auto"/>
        <w:rPr>
          <w:rFonts w:ascii="Arial" w:hAnsi="Arial" w:cs="Arial"/>
          <w:sz w:val="21"/>
          <w:szCs w:val="21"/>
        </w:rPr>
      </w:pPr>
    </w:p>
    <w:p w14:paraId="00410EBB" w14:textId="3816F45E"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 xml:space="preserve">This comprehensive conference welcomes both members and non-members to engage in a dynamic learning experience. Attendees will benefit from insightful plenary sessions led by distinguished speakers and enhance their skills through specialized professional development courses. Networking opportunities are available with industry peers at the Exhibitor Hall reception, featuring vendor displays and informative posters on cutting-edge </w:t>
      </w:r>
      <w:proofErr w:type="spellStart"/>
      <w:r w:rsidRPr="00CC0E30">
        <w:rPr>
          <w:rFonts w:ascii="Arial" w:hAnsi="Arial" w:cs="Arial"/>
          <w:sz w:val="21"/>
          <w:szCs w:val="21"/>
        </w:rPr>
        <w:t>HazCom</w:t>
      </w:r>
      <w:proofErr w:type="spellEnd"/>
      <w:r w:rsidRPr="00CC0E30">
        <w:rPr>
          <w:rFonts w:ascii="Arial" w:hAnsi="Arial" w:cs="Arial"/>
          <w:sz w:val="21"/>
          <w:szCs w:val="21"/>
        </w:rPr>
        <w:t xml:space="preserve"> topics.</w:t>
      </w:r>
    </w:p>
    <w:p w14:paraId="2A5C06B1" w14:textId="77777777" w:rsidR="00C6611F" w:rsidRPr="00CC0E30" w:rsidRDefault="00C6611F" w:rsidP="00C6611F">
      <w:pPr>
        <w:spacing w:after="0" w:line="240" w:lineRule="auto"/>
        <w:rPr>
          <w:rFonts w:ascii="Arial" w:hAnsi="Arial" w:cs="Arial"/>
          <w:sz w:val="21"/>
          <w:szCs w:val="21"/>
        </w:rPr>
      </w:pPr>
    </w:p>
    <w:p w14:paraId="7BDEDD4D" w14:textId="658386D4"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The following topics have been confirmed:</w:t>
      </w:r>
    </w:p>
    <w:p w14:paraId="2C286B90"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Brazilian GHS in Practice: Recent Updates, Future Developments, and Global Comparisons</w:t>
      </w:r>
    </w:p>
    <w:p w14:paraId="4EF8DAA7"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Chemical Trade Secret Requirements Jurisdictional Overview</w:t>
      </w:r>
    </w:p>
    <w:p w14:paraId="5033EFC9" w14:textId="3BE91E0A"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Disclosure Requirements: Expectations, Obligations, and Best Practice</w:t>
      </w:r>
    </w:p>
    <w:p w14:paraId="1FF789D3"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PFAS, a persistent issue</w:t>
      </w:r>
    </w:p>
    <w:p w14:paraId="766F18A0"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PPWR Labelling: Harmonization or Rebranded Fragmentation?</w:t>
      </w:r>
    </w:p>
    <w:p w14:paraId="1F109C13"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From Sustainability to Safety: Aligning ESPR Ecodesign Requirements with Modern Hazard Communication Standards</w:t>
      </w:r>
    </w:p>
    <w:p w14:paraId="71121ECC"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From Signals to Strategy: Evaluating Chemical Vulnerability in your Ingredient Portfolio</w:t>
      </w:r>
    </w:p>
    <w:p w14:paraId="5F347517"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Deriving Protective OELs and OEBs from Pharmacological Data: A Universal Alternative to Toxicology-Based Assessments</w:t>
      </w:r>
    </w:p>
    <w:p w14:paraId="5309ADDF"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Classifying Chemicals with Explosive and Explosive-like properties</w:t>
      </w:r>
    </w:p>
    <w:p w14:paraId="356021D3"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Lost in Translation: How “Harmonized” is GHS Across Jurisdictions?</w:t>
      </w:r>
    </w:p>
    <w:p w14:paraId="43FE5F03" w14:textId="77777777"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Read-Across Techniques for Chemical Classification: A Short Primer for Non-Toxicologists</w:t>
      </w:r>
    </w:p>
    <w:p w14:paraId="140DE0EC" w14:textId="7E9B89DD"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EPR Forum, Implication of the EU Omnibus reg, Disclosure/Components</w:t>
      </w:r>
    </w:p>
    <w:p w14:paraId="4547B35D" w14:textId="46ECB672" w:rsidR="00C6611F" w:rsidRPr="00CC0E30" w:rsidRDefault="00C6611F" w:rsidP="00C6611F">
      <w:pPr>
        <w:pStyle w:val="ListParagraph"/>
        <w:numPr>
          <w:ilvl w:val="0"/>
          <w:numId w:val="1"/>
        </w:numPr>
        <w:spacing w:after="0" w:line="240" w:lineRule="auto"/>
        <w:rPr>
          <w:rFonts w:ascii="Arial" w:hAnsi="Arial" w:cs="Arial"/>
          <w:sz w:val="21"/>
          <w:szCs w:val="21"/>
        </w:rPr>
      </w:pPr>
      <w:r w:rsidRPr="00CC0E30">
        <w:rPr>
          <w:rFonts w:ascii="Arial" w:hAnsi="Arial" w:cs="Arial"/>
          <w:sz w:val="21"/>
          <w:szCs w:val="21"/>
        </w:rPr>
        <w:t>Extended Producer Responsibility (EPR) for Hazardous Products and Packaging</w:t>
      </w:r>
    </w:p>
    <w:p w14:paraId="19199367" w14:textId="29971716" w:rsidR="00C6611F" w:rsidRPr="00CC0E30" w:rsidRDefault="00C6611F" w:rsidP="00C6611F">
      <w:pPr>
        <w:pStyle w:val="ListParagraph"/>
        <w:numPr>
          <w:ilvl w:val="0"/>
          <w:numId w:val="1"/>
        </w:numPr>
        <w:spacing w:after="0" w:line="240" w:lineRule="auto"/>
        <w:rPr>
          <w:rFonts w:ascii="Arial" w:hAnsi="Arial" w:cs="Arial"/>
          <w:b/>
          <w:bCs/>
          <w:i/>
          <w:iCs/>
          <w:sz w:val="21"/>
          <w:szCs w:val="21"/>
        </w:rPr>
      </w:pPr>
      <w:r w:rsidRPr="00CC0E30">
        <w:rPr>
          <w:rFonts w:ascii="Arial" w:hAnsi="Arial" w:cs="Arial"/>
          <w:b/>
          <w:bCs/>
          <w:i/>
          <w:iCs/>
          <w:sz w:val="21"/>
          <w:szCs w:val="21"/>
        </w:rPr>
        <w:t>More to come!</w:t>
      </w:r>
    </w:p>
    <w:p w14:paraId="4D5FE626" w14:textId="77777777" w:rsidR="00C6611F" w:rsidRPr="00CC0E30" w:rsidRDefault="00C6611F" w:rsidP="00C6611F">
      <w:pPr>
        <w:spacing w:after="0" w:line="240" w:lineRule="auto"/>
        <w:rPr>
          <w:rFonts w:ascii="Arial" w:hAnsi="Arial" w:cs="Arial"/>
          <w:sz w:val="21"/>
          <w:szCs w:val="21"/>
        </w:rPr>
      </w:pPr>
    </w:p>
    <w:p w14:paraId="641941C3" w14:textId="0BC5325E"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The registration fees associated with this meeting are:</w:t>
      </w:r>
    </w:p>
    <w:p w14:paraId="4C46694A" w14:textId="2B02BDFD" w:rsidR="00C6611F" w:rsidRPr="00CC0E30" w:rsidRDefault="00C6611F" w:rsidP="00C6611F">
      <w:pPr>
        <w:pStyle w:val="ListParagraph"/>
        <w:numPr>
          <w:ilvl w:val="0"/>
          <w:numId w:val="2"/>
        </w:numPr>
        <w:spacing w:after="0" w:line="240" w:lineRule="auto"/>
        <w:rPr>
          <w:rFonts w:ascii="Arial" w:hAnsi="Arial" w:cs="Arial"/>
          <w:sz w:val="21"/>
          <w:szCs w:val="21"/>
        </w:rPr>
      </w:pPr>
      <w:r w:rsidRPr="00CC0E30">
        <w:rPr>
          <w:rFonts w:ascii="Arial" w:hAnsi="Arial" w:cs="Arial"/>
          <w:sz w:val="21"/>
          <w:szCs w:val="21"/>
        </w:rPr>
        <w:t>Member Early Bird = $610 (Regular Rate = $720)</w:t>
      </w:r>
    </w:p>
    <w:p w14:paraId="11A77974" w14:textId="44421ECA" w:rsidR="00C6611F" w:rsidRPr="00CC0E30" w:rsidRDefault="00C6611F" w:rsidP="00C6611F">
      <w:pPr>
        <w:pStyle w:val="ListParagraph"/>
        <w:numPr>
          <w:ilvl w:val="0"/>
          <w:numId w:val="2"/>
        </w:numPr>
        <w:spacing w:after="0" w:line="240" w:lineRule="auto"/>
        <w:rPr>
          <w:rFonts w:ascii="Arial" w:hAnsi="Arial" w:cs="Arial"/>
          <w:sz w:val="21"/>
          <w:szCs w:val="21"/>
        </w:rPr>
      </w:pPr>
      <w:r w:rsidRPr="00CC0E30">
        <w:rPr>
          <w:rFonts w:ascii="Arial" w:hAnsi="Arial" w:cs="Arial"/>
          <w:sz w:val="21"/>
          <w:szCs w:val="21"/>
        </w:rPr>
        <w:t>Non-Member Early Bird = $755 (Regular Rate = $865)</w:t>
      </w:r>
    </w:p>
    <w:p w14:paraId="538C4FCD" w14:textId="7637932C" w:rsidR="00C6611F" w:rsidRPr="00CC0E30" w:rsidRDefault="00C6611F" w:rsidP="00C6611F">
      <w:pPr>
        <w:pStyle w:val="ListParagraph"/>
        <w:numPr>
          <w:ilvl w:val="0"/>
          <w:numId w:val="2"/>
        </w:numPr>
        <w:spacing w:after="0" w:line="240" w:lineRule="auto"/>
        <w:rPr>
          <w:rFonts w:ascii="Arial" w:hAnsi="Arial" w:cs="Arial"/>
          <w:i/>
          <w:iCs/>
          <w:sz w:val="21"/>
          <w:szCs w:val="21"/>
        </w:rPr>
      </w:pPr>
      <w:r w:rsidRPr="00CC0E30">
        <w:rPr>
          <w:rFonts w:ascii="Arial" w:hAnsi="Arial" w:cs="Arial"/>
          <w:i/>
          <w:iCs/>
          <w:sz w:val="21"/>
          <w:szCs w:val="21"/>
        </w:rPr>
        <w:t>Early Bird Rates are available until July 12, 2026</w:t>
      </w:r>
    </w:p>
    <w:p w14:paraId="4F239038" w14:textId="77777777" w:rsidR="00C6611F" w:rsidRPr="00CC0E30" w:rsidRDefault="00C6611F" w:rsidP="00C6611F">
      <w:pPr>
        <w:spacing w:after="0" w:line="240" w:lineRule="auto"/>
        <w:rPr>
          <w:rFonts w:ascii="Arial" w:hAnsi="Arial" w:cs="Arial"/>
          <w:sz w:val="21"/>
          <w:szCs w:val="21"/>
        </w:rPr>
      </w:pPr>
    </w:p>
    <w:p w14:paraId="595EE33A" w14:textId="5E3069FD"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In addition to the conference costs, I anticipate the following additional costs:</w:t>
      </w:r>
    </w:p>
    <w:p w14:paraId="17C7211A" w14:textId="77777777" w:rsidR="00C6611F" w:rsidRPr="00CC0E30" w:rsidRDefault="00C6611F" w:rsidP="00C6611F">
      <w:pPr>
        <w:spacing w:after="0" w:line="240" w:lineRule="auto"/>
        <w:rPr>
          <w:rFonts w:ascii="Arial" w:hAnsi="Arial" w:cs="Arial"/>
          <w:sz w:val="21"/>
          <w:szCs w:val="21"/>
        </w:rPr>
      </w:pPr>
    </w:p>
    <w:tbl>
      <w:tblPr>
        <w:tblStyle w:val="TableGrid"/>
        <w:tblW w:w="0" w:type="auto"/>
        <w:tblInd w:w="2875" w:type="dxa"/>
        <w:tblLook w:val="04A0" w:firstRow="1" w:lastRow="0" w:firstColumn="1" w:lastColumn="0" w:noHBand="0" w:noVBand="1"/>
      </w:tblPr>
      <w:tblGrid>
        <w:gridCol w:w="2520"/>
        <w:gridCol w:w="2520"/>
      </w:tblGrid>
      <w:tr w:rsidR="00C6611F" w:rsidRPr="00CC0E30" w14:paraId="63A588B1" w14:textId="77777777" w:rsidTr="00C6611F">
        <w:tc>
          <w:tcPr>
            <w:tcW w:w="2520" w:type="dxa"/>
          </w:tcPr>
          <w:p w14:paraId="3EA402A9" w14:textId="63A74DB7" w:rsidR="00C6611F" w:rsidRPr="00CC0E30" w:rsidRDefault="00C6611F" w:rsidP="00C6611F">
            <w:pPr>
              <w:jc w:val="right"/>
              <w:rPr>
                <w:rFonts w:ascii="Arial" w:hAnsi="Arial" w:cs="Arial"/>
                <w:sz w:val="21"/>
                <w:szCs w:val="21"/>
              </w:rPr>
            </w:pPr>
            <w:r w:rsidRPr="00CC0E30">
              <w:rPr>
                <w:rFonts w:ascii="Arial" w:hAnsi="Arial" w:cs="Arial"/>
                <w:sz w:val="21"/>
                <w:szCs w:val="21"/>
              </w:rPr>
              <w:t>Airfare</w:t>
            </w:r>
          </w:p>
        </w:tc>
        <w:tc>
          <w:tcPr>
            <w:tcW w:w="2520" w:type="dxa"/>
          </w:tcPr>
          <w:p w14:paraId="3506DEFE" w14:textId="3E54D245" w:rsidR="00C6611F" w:rsidRPr="00CC0E30" w:rsidRDefault="00C6611F" w:rsidP="00C6611F">
            <w:pPr>
              <w:rPr>
                <w:rFonts w:ascii="Arial" w:hAnsi="Arial" w:cs="Arial"/>
                <w:sz w:val="21"/>
                <w:szCs w:val="21"/>
              </w:rPr>
            </w:pPr>
            <w:r w:rsidRPr="00CC0E30">
              <w:rPr>
                <w:rFonts w:ascii="Arial" w:hAnsi="Arial" w:cs="Arial"/>
                <w:sz w:val="21"/>
                <w:szCs w:val="21"/>
              </w:rPr>
              <w:t>$</w:t>
            </w:r>
          </w:p>
        </w:tc>
      </w:tr>
      <w:tr w:rsidR="00C6611F" w:rsidRPr="00CC0E30" w14:paraId="7E63B017" w14:textId="77777777" w:rsidTr="00C6611F">
        <w:tc>
          <w:tcPr>
            <w:tcW w:w="2520" w:type="dxa"/>
          </w:tcPr>
          <w:p w14:paraId="6079E702" w14:textId="0A5B050B" w:rsidR="00C6611F" w:rsidRPr="00CC0E30" w:rsidRDefault="00C6611F" w:rsidP="00C6611F">
            <w:pPr>
              <w:jc w:val="right"/>
              <w:rPr>
                <w:rFonts w:ascii="Arial" w:hAnsi="Arial" w:cs="Arial"/>
                <w:sz w:val="21"/>
                <w:szCs w:val="21"/>
              </w:rPr>
            </w:pPr>
            <w:r w:rsidRPr="00CC0E30">
              <w:rPr>
                <w:rFonts w:ascii="Arial" w:hAnsi="Arial" w:cs="Arial"/>
                <w:sz w:val="21"/>
                <w:szCs w:val="21"/>
              </w:rPr>
              <w:t>Ground Transportation</w:t>
            </w:r>
          </w:p>
        </w:tc>
        <w:tc>
          <w:tcPr>
            <w:tcW w:w="2520" w:type="dxa"/>
          </w:tcPr>
          <w:p w14:paraId="3FA02978" w14:textId="57137D4D" w:rsidR="00C6611F" w:rsidRPr="00CC0E30" w:rsidRDefault="00C6611F" w:rsidP="00C6611F">
            <w:pPr>
              <w:rPr>
                <w:rFonts w:ascii="Arial" w:hAnsi="Arial" w:cs="Arial"/>
                <w:sz w:val="21"/>
                <w:szCs w:val="21"/>
              </w:rPr>
            </w:pPr>
            <w:r w:rsidRPr="00CC0E30">
              <w:rPr>
                <w:rFonts w:ascii="Arial" w:hAnsi="Arial" w:cs="Arial"/>
                <w:sz w:val="21"/>
                <w:szCs w:val="21"/>
              </w:rPr>
              <w:t>$</w:t>
            </w:r>
          </w:p>
        </w:tc>
      </w:tr>
      <w:tr w:rsidR="00C6611F" w:rsidRPr="00CC0E30" w14:paraId="4E205BC9" w14:textId="77777777" w:rsidTr="00C6611F">
        <w:tc>
          <w:tcPr>
            <w:tcW w:w="2520" w:type="dxa"/>
          </w:tcPr>
          <w:p w14:paraId="516757D8" w14:textId="5A930370" w:rsidR="00C6611F" w:rsidRPr="00CC0E30" w:rsidRDefault="00C6611F" w:rsidP="00C6611F">
            <w:pPr>
              <w:jc w:val="right"/>
              <w:rPr>
                <w:rFonts w:ascii="Arial" w:hAnsi="Arial" w:cs="Arial"/>
                <w:sz w:val="21"/>
                <w:szCs w:val="21"/>
              </w:rPr>
            </w:pPr>
            <w:r w:rsidRPr="00CC0E30">
              <w:rPr>
                <w:rFonts w:ascii="Arial" w:hAnsi="Arial" w:cs="Arial"/>
                <w:sz w:val="21"/>
                <w:szCs w:val="21"/>
              </w:rPr>
              <w:t xml:space="preserve">Hotel </w:t>
            </w:r>
          </w:p>
        </w:tc>
        <w:tc>
          <w:tcPr>
            <w:tcW w:w="2520" w:type="dxa"/>
          </w:tcPr>
          <w:p w14:paraId="04A1CC1E" w14:textId="5855E89E" w:rsidR="00C6611F" w:rsidRPr="00CC0E30" w:rsidRDefault="00C6611F" w:rsidP="00C6611F">
            <w:pPr>
              <w:rPr>
                <w:rFonts w:ascii="Arial" w:hAnsi="Arial" w:cs="Arial"/>
                <w:sz w:val="21"/>
                <w:szCs w:val="21"/>
              </w:rPr>
            </w:pPr>
            <w:r w:rsidRPr="00CC0E30">
              <w:rPr>
                <w:rFonts w:ascii="Arial" w:hAnsi="Arial" w:cs="Arial"/>
                <w:sz w:val="21"/>
                <w:szCs w:val="21"/>
              </w:rPr>
              <w:t>$</w:t>
            </w:r>
          </w:p>
        </w:tc>
      </w:tr>
      <w:tr w:rsidR="00C6611F" w:rsidRPr="00CC0E30" w14:paraId="0185D7C6" w14:textId="77777777" w:rsidTr="00C6611F">
        <w:tc>
          <w:tcPr>
            <w:tcW w:w="2520" w:type="dxa"/>
          </w:tcPr>
          <w:p w14:paraId="4A6E1366" w14:textId="11209090" w:rsidR="00C6611F" w:rsidRPr="00CC0E30" w:rsidRDefault="00C6611F" w:rsidP="00C6611F">
            <w:pPr>
              <w:jc w:val="right"/>
              <w:rPr>
                <w:rFonts w:ascii="Arial" w:hAnsi="Arial" w:cs="Arial"/>
                <w:sz w:val="21"/>
                <w:szCs w:val="21"/>
              </w:rPr>
            </w:pPr>
            <w:r w:rsidRPr="00CC0E30">
              <w:rPr>
                <w:rFonts w:ascii="Arial" w:hAnsi="Arial" w:cs="Arial"/>
                <w:sz w:val="21"/>
                <w:szCs w:val="21"/>
              </w:rPr>
              <w:t>Meals</w:t>
            </w:r>
          </w:p>
        </w:tc>
        <w:tc>
          <w:tcPr>
            <w:tcW w:w="2520" w:type="dxa"/>
          </w:tcPr>
          <w:p w14:paraId="7BEB00AD" w14:textId="72C9E9E9" w:rsidR="00C6611F" w:rsidRPr="00CC0E30" w:rsidRDefault="00C6611F" w:rsidP="00C6611F">
            <w:pPr>
              <w:rPr>
                <w:rFonts w:ascii="Arial" w:hAnsi="Arial" w:cs="Arial"/>
                <w:sz w:val="21"/>
                <w:szCs w:val="21"/>
              </w:rPr>
            </w:pPr>
            <w:r w:rsidRPr="00CC0E30">
              <w:rPr>
                <w:rFonts w:ascii="Arial" w:hAnsi="Arial" w:cs="Arial"/>
                <w:sz w:val="21"/>
                <w:szCs w:val="21"/>
              </w:rPr>
              <w:t>$</w:t>
            </w:r>
          </w:p>
        </w:tc>
      </w:tr>
      <w:tr w:rsidR="00C6611F" w:rsidRPr="00CC0E30" w14:paraId="425180A9" w14:textId="77777777" w:rsidTr="00C6611F">
        <w:tc>
          <w:tcPr>
            <w:tcW w:w="2520" w:type="dxa"/>
          </w:tcPr>
          <w:p w14:paraId="06B38234" w14:textId="36421375" w:rsidR="00C6611F" w:rsidRPr="00CC0E30" w:rsidRDefault="00C6611F" w:rsidP="00C6611F">
            <w:pPr>
              <w:jc w:val="right"/>
              <w:rPr>
                <w:rFonts w:ascii="Arial" w:hAnsi="Arial" w:cs="Arial"/>
                <w:b/>
                <w:bCs/>
                <w:sz w:val="21"/>
                <w:szCs w:val="21"/>
              </w:rPr>
            </w:pPr>
            <w:r w:rsidRPr="00CC0E30">
              <w:rPr>
                <w:rFonts w:ascii="Arial" w:hAnsi="Arial" w:cs="Arial"/>
                <w:b/>
                <w:bCs/>
                <w:sz w:val="21"/>
                <w:szCs w:val="21"/>
              </w:rPr>
              <w:t>Total</w:t>
            </w:r>
          </w:p>
        </w:tc>
        <w:tc>
          <w:tcPr>
            <w:tcW w:w="2520" w:type="dxa"/>
          </w:tcPr>
          <w:p w14:paraId="2F96AC01" w14:textId="471F7ACB" w:rsidR="00C6611F" w:rsidRPr="00CC0E30" w:rsidRDefault="00C6611F" w:rsidP="00C6611F">
            <w:pPr>
              <w:rPr>
                <w:rFonts w:ascii="Arial" w:hAnsi="Arial" w:cs="Arial"/>
                <w:b/>
                <w:bCs/>
                <w:sz w:val="21"/>
                <w:szCs w:val="21"/>
              </w:rPr>
            </w:pPr>
            <w:r w:rsidRPr="00CC0E30">
              <w:rPr>
                <w:rFonts w:ascii="Arial" w:hAnsi="Arial" w:cs="Arial"/>
                <w:b/>
                <w:bCs/>
                <w:sz w:val="21"/>
                <w:szCs w:val="21"/>
              </w:rPr>
              <w:t>$</w:t>
            </w:r>
          </w:p>
        </w:tc>
      </w:tr>
    </w:tbl>
    <w:p w14:paraId="1ADD5885" w14:textId="77777777" w:rsidR="00C6611F" w:rsidRPr="00CC0E30" w:rsidRDefault="00C6611F" w:rsidP="00C6611F">
      <w:pPr>
        <w:spacing w:after="0" w:line="240" w:lineRule="auto"/>
        <w:rPr>
          <w:rFonts w:ascii="Arial" w:hAnsi="Arial" w:cs="Arial"/>
          <w:sz w:val="21"/>
          <w:szCs w:val="21"/>
        </w:rPr>
      </w:pPr>
    </w:p>
    <w:p w14:paraId="44C231CA" w14:textId="7D1E9F97"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I believe that the knowledge and professional connection I can gain at the SCHC 2026 Annual Meting will be invaluable to our organization.</w:t>
      </w:r>
    </w:p>
    <w:p w14:paraId="64428EEA" w14:textId="77777777" w:rsidR="00C6611F" w:rsidRPr="00CC0E30" w:rsidRDefault="00C6611F" w:rsidP="00C6611F">
      <w:pPr>
        <w:spacing w:after="0" w:line="240" w:lineRule="auto"/>
        <w:rPr>
          <w:rFonts w:ascii="Arial" w:hAnsi="Arial" w:cs="Arial"/>
          <w:sz w:val="21"/>
          <w:szCs w:val="21"/>
        </w:rPr>
      </w:pPr>
    </w:p>
    <w:p w14:paraId="659114B1" w14:textId="0D64F029"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rPr>
        <w:t>Sincerely,</w:t>
      </w:r>
    </w:p>
    <w:p w14:paraId="2A2B2D81" w14:textId="4854DD60" w:rsidR="00C6611F" w:rsidRPr="00CC0E30" w:rsidRDefault="00C6611F" w:rsidP="00C6611F">
      <w:pPr>
        <w:spacing w:after="0" w:line="240" w:lineRule="auto"/>
        <w:rPr>
          <w:rFonts w:ascii="Arial" w:hAnsi="Arial" w:cs="Arial"/>
          <w:sz w:val="21"/>
          <w:szCs w:val="21"/>
        </w:rPr>
      </w:pPr>
      <w:r w:rsidRPr="00CC0E30">
        <w:rPr>
          <w:rFonts w:ascii="Arial" w:hAnsi="Arial" w:cs="Arial"/>
          <w:sz w:val="21"/>
          <w:szCs w:val="21"/>
          <w:highlight w:val="yellow"/>
        </w:rPr>
        <w:t>(Your Name)</w:t>
      </w:r>
    </w:p>
    <w:sectPr w:rsidR="00C6611F" w:rsidRPr="00CC0E30" w:rsidSect="008E6E2C">
      <w:footerReference w:type="default" r:id="rId8"/>
      <w:pgSz w:w="12240" w:h="15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70DD7" w14:textId="77777777" w:rsidR="00501880" w:rsidRDefault="00501880" w:rsidP="008E6E2C">
      <w:pPr>
        <w:spacing w:after="0" w:line="240" w:lineRule="auto"/>
      </w:pPr>
      <w:r>
        <w:separator/>
      </w:r>
    </w:p>
  </w:endnote>
  <w:endnote w:type="continuationSeparator" w:id="0">
    <w:p w14:paraId="404E821F" w14:textId="77777777" w:rsidR="00501880" w:rsidRDefault="00501880" w:rsidP="008E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EC71" w14:textId="1D4E4769" w:rsidR="008E6E2C" w:rsidRPr="00CC0E30" w:rsidRDefault="008E6E2C" w:rsidP="008E6E2C">
    <w:pPr>
      <w:pStyle w:val="Footer"/>
      <w:jc w:val="center"/>
      <w:rPr>
        <w:rFonts w:ascii="Arial" w:hAnsi="Arial" w:cs="Arial"/>
        <w:b/>
        <w:bCs/>
      </w:rPr>
    </w:pPr>
    <w:r w:rsidRPr="00CC0E30">
      <w:rPr>
        <w:rFonts w:ascii="Arial" w:hAnsi="Arial" w:cs="Arial"/>
        <w:b/>
        <w:bCs/>
      </w:rPr>
      <w:t>SCHC ● P.O. Box 518 ● Mount Laurel, NJ 08054</w:t>
    </w:r>
    <w:r w:rsidR="00CC0E30">
      <w:rPr>
        <w:rFonts w:ascii="Arial" w:hAnsi="Arial" w:cs="Arial"/>
        <w:b/>
        <w:bCs/>
      </w:rPr>
      <w:t xml:space="preserve"> ● 703-658-9246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C5B61" w14:textId="77777777" w:rsidR="00501880" w:rsidRDefault="00501880" w:rsidP="008E6E2C">
      <w:pPr>
        <w:spacing w:after="0" w:line="240" w:lineRule="auto"/>
      </w:pPr>
      <w:r>
        <w:separator/>
      </w:r>
    </w:p>
  </w:footnote>
  <w:footnote w:type="continuationSeparator" w:id="0">
    <w:p w14:paraId="088E148C" w14:textId="77777777" w:rsidR="00501880" w:rsidRDefault="00501880" w:rsidP="008E6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9D8"/>
    <w:multiLevelType w:val="hybridMultilevel"/>
    <w:tmpl w:val="9FF6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D40FA"/>
    <w:multiLevelType w:val="hybridMultilevel"/>
    <w:tmpl w:val="FD2A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98659">
    <w:abstractNumId w:val="1"/>
  </w:num>
  <w:num w:numId="2" w16cid:durableId="1862041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1F"/>
    <w:rsid w:val="00083D42"/>
    <w:rsid w:val="00501880"/>
    <w:rsid w:val="005E0380"/>
    <w:rsid w:val="008E6E2C"/>
    <w:rsid w:val="008F113D"/>
    <w:rsid w:val="00C6611F"/>
    <w:rsid w:val="00CC0E30"/>
    <w:rsid w:val="00F20FBC"/>
    <w:rsid w:val="00F23775"/>
    <w:rsid w:val="00F7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D3C5"/>
  <w15:chartTrackingRefBased/>
  <w15:docId w15:val="{10F1FA7D-6855-490C-88A8-2862D0F6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11F"/>
    <w:rPr>
      <w:rFonts w:eastAsiaTheme="majorEastAsia" w:cstheme="majorBidi"/>
      <w:color w:val="272727" w:themeColor="text1" w:themeTint="D8"/>
    </w:rPr>
  </w:style>
  <w:style w:type="paragraph" w:styleId="Title">
    <w:name w:val="Title"/>
    <w:basedOn w:val="Normal"/>
    <w:next w:val="Normal"/>
    <w:link w:val="TitleChar"/>
    <w:uiPriority w:val="10"/>
    <w:qFormat/>
    <w:rsid w:val="00C6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11F"/>
    <w:pPr>
      <w:spacing w:before="160"/>
      <w:jc w:val="center"/>
    </w:pPr>
    <w:rPr>
      <w:i/>
      <w:iCs/>
      <w:color w:val="404040" w:themeColor="text1" w:themeTint="BF"/>
    </w:rPr>
  </w:style>
  <w:style w:type="character" w:customStyle="1" w:styleId="QuoteChar">
    <w:name w:val="Quote Char"/>
    <w:basedOn w:val="DefaultParagraphFont"/>
    <w:link w:val="Quote"/>
    <w:uiPriority w:val="29"/>
    <w:rsid w:val="00C6611F"/>
    <w:rPr>
      <w:i/>
      <w:iCs/>
      <w:color w:val="404040" w:themeColor="text1" w:themeTint="BF"/>
    </w:rPr>
  </w:style>
  <w:style w:type="paragraph" w:styleId="ListParagraph">
    <w:name w:val="List Paragraph"/>
    <w:basedOn w:val="Normal"/>
    <w:uiPriority w:val="34"/>
    <w:qFormat/>
    <w:rsid w:val="00C6611F"/>
    <w:pPr>
      <w:ind w:left="720"/>
      <w:contextualSpacing/>
    </w:pPr>
  </w:style>
  <w:style w:type="character" w:styleId="IntenseEmphasis">
    <w:name w:val="Intense Emphasis"/>
    <w:basedOn w:val="DefaultParagraphFont"/>
    <w:uiPriority w:val="21"/>
    <w:qFormat/>
    <w:rsid w:val="00C6611F"/>
    <w:rPr>
      <w:i/>
      <w:iCs/>
      <w:color w:val="0F4761" w:themeColor="accent1" w:themeShade="BF"/>
    </w:rPr>
  </w:style>
  <w:style w:type="paragraph" w:styleId="IntenseQuote">
    <w:name w:val="Intense Quote"/>
    <w:basedOn w:val="Normal"/>
    <w:next w:val="Normal"/>
    <w:link w:val="IntenseQuoteChar"/>
    <w:uiPriority w:val="30"/>
    <w:qFormat/>
    <w:rsid w:val="00C66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11F"/>
    <w:rPr>
      <w:i/>
      <w:iCs/>
      <w:color w:val="0F4761" w:themeColor="accent1" w:themeShade="BF"/>
    </w:rPr>
  </w:style>
  <w:style w:type="character" w:styleId="IntenseReference">
    <w:name w:val="Intense Reference"/>
    <w:basedOn w:val="DefaultParagraphFont"/>
    <w:uiPriority w:val="32"/>
    <w:qFormat/>
    <w:rsid w:val="00C6611F"/>
    <w:rPr>
      <w:b/>
      <w:bCs/>
      <w:smallCaps/>
      <w:color w:val="0F4761" w:themeColor="accent1" w:themeShade="BF"/>
      <w:spacing w:val="5"/>
    </w:rPr>
  </w:style>
  <w:style w:type="table" w:styleId="TableGrid">
    <w:name w:val="Table Grid"/>
    <w:basedOn w:val="TableNormal"/>
    <w:uiPriority w:val="39"/>
    <w:rsid w:val="00C6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E2C"/>
  </w:style>
  <w:style w:type="paragraph" w:styleId="Footer">
    <w:name w:val="footer"/>
    <w:basedOn w:val="Normal"/>
    <w:link w:val="FooterChar"/>
    <w:uiPriority w:val="99"/>
    <w:unhideWhenUsed/>
    <w:rsid w:val="008E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305</Words>
  <Characters>1943</Characters>
  <Application>Microsoft Office Word</Application>
  <DocSecurity>0</DocSecurity>
  <Lines>55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Downing</dc:creator>
  <cp:keywords/>
  <dc:description/>
  <cp:lastModifiedBy>Denise Downing</cp:lastModifiedBy>
  <cp:revision>3</cp:revision>
  <dcterms:created xsi:type="dcterms:W3CDTF">2026-06-23T20:21:00Z</dcterms:created>
  <dcterms:modified xsi:type="dcterms:W3CDTF">2026-06-24T11:25:00Z</dcterms:modified>
</cp:coreProperties>
</file>